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12E3" w14:textId="77777777" w:rsidR="00162F20" w:rsidRDefault="00162F20" w:rsidP="00162F20">
      <w:pPr>
        <w:spacing w:line="360" w:lineRule="auto"/>
        <w:jc w:val="center"/>
        <w:rPr>
          <w:rFonts w:ascii="Arial" w:hAnsi="Arial" w:cs="Arial"/>
          <w:b/>
          <w:sz w:val="20"/>
          <w:szCs w:val="20"/>
          <w:lang w:eastAsia="pt-PT"/>
        </w:rPr>
      </w:pPr>
      <w:r>
        <w:rPr>
          <w:rFonts w:ascii="Arial" w:hAnsi="Arial" w:cs="Arial"/>
          <w:b/>
          <w:sz w:val="20"/>
          <w:szCs w:val="20"/>
          <w:lang w:eastAsia="pt-PT"/>
        </w:rPr>
        <w:t xml:space="preserve">DECLARAÇÃO </w:t>
      </w:r>
    </w:p>
    <w:p w14:paraId="43C93D25" w14:textId="77777777" w:rsidR="00162F20" w:rsidRDefault="00162F20" w:rsidP="00162F20">
      <w:pPr>
        <w:spacing w:line="360" w:lineRule="auto"/>
        <w:jc w:val="center"/>
        <w:rPr>
          <w:rFonts w:ascii="Arial" w:hAnsi="Arial" w:cs="Arial"/>
          <w:b/>
          <w:sz w:val="20"/>
          <w:szCs w:val="20"/>
          <w:lang w:eastAsia="pt-PT"/>
        </w:rPr>
      </w:pPr>
    </w:p>
    <w:p w14:paraId="1A3B9481" w14:textId="0B3AD669" w:rsidR="0059041B" w:rsidRDefault="00162F20" w:rsidP="0059041B">
      <w:pPr>
        <w:spacing w:line="360" w:lineRule="auto"/>
        <w:jc w:val="both"/>
        <w:rPr>
          <w:rFonts w:ascii="Arial" w:hAnsi="Arial" w:cs="Arial"/>
          <w:sz w:val="20"/>
          <w:szCs w:val="20"/>
        </w:rPr>
      </w:pPr>
      <w:r w:rsidRPr="00BC6B95">
        <w:rPr>
          <w:rFonts w:ascii="Arial" w:hAnsi="Arial" w:cs="Arial"/>
          <w:sz w:val="20"/>
        </w:rPr>
        <w:t xml:space="preserve">A </w:t>
      </w:r>
      <w:r w:rsidRPr="008163BF">
        <w:t>[</w:t>
      </w:r>
      <w:r w:rsidRPr="008163BF">
        <w:rPr>
          <w:rFonts w:cs="Calibri"/>
        </w:rPr>
        <w:t>•</w:t>
      </w:r>
      <w:r w:rsidRPr="008163BF">
        <w:t>]</w:t>
      </w:r>
      <w:r w:rsidRPr="008163BF">
        <w:rPr>
          <w:rFonts w:ascii="Arial" w:hAnsi="Arial" w:cs="Arial"/>
          <w:sz w:val="20"/>
        </w:rPr>
        <w:t xml:space="preserve">, com sede na Rua </w:t>
      </w:r>
      <w:r w:rsidRPr="008163BF">
        <w:t>[</w:t>
      </w:r>
      <w:r w:rsidRPr="008163BF">
        <w:rPr>
          <w:rFonts w:cs="Calibri"/>
        </w:rPr>
        <w:t>•</w:t>
      </w:r>
      <w:r w:rsidRPr="008163BF">
        <w:t>]</w:t>
      </w:r>
      <w:r w:rsidRPr="008163BF">
        <w:rPr>
          <w:rFonts w:ascii="Arial" w:hAnsi="Arial" w:cs="Arial"/>
          <w:sz w:val="20"/>
        </w:rPr>
        <w:t xml:space="preserve">, com o capital social de € </w:t>
      </w:r>
      <w:r w:rsidRPr="008163BF">
        <w:t>[</w:t>
      </w:r>
      <w:r w:rsidRPr="008163BF">
        <w:rPr>
          <w:rFonts w:cs="Calibri"/>
        </w:rPr>
        <w:t>•</w:t>
      </w:r>
      <w:r w:rsidRPr="008163BF">
        <w:t>]</w:t>
      </w:r>
      <w:r w:rsidRPr="008163BF">
        <w:rPr>
          <w:rFonts w:ascii="Arial" w:hAnsi="Arial" w:cs="Arial"/>
          <w:sz w:val="20"/>
        </w:rPr>
        <w:t xml:space="preserve">, registada na Conservatória do Registo Comercial de </w:t>
      </w:r>
      <w:r w:rsidRPr="008163BF">
        <w:t>[</w:t>
      </w:r>
      <w:r w:rsidRPr="008163BF">
        <w:rPr>
          <w:rFonts w:cs="Calibri"/>
        </w:rPr>
        <w:t>•</w:t>
      </w:r>
      <w:r w:rsidRPr="008163BF">
        <w:t>]</w:t>
      </w:r>
      <w:r w:rsidRPr="008163BF">
        <w:rPr>
          <w:rFonts w:ascii="Arial" w:hAnsi="Arial" w:cs="Arial"/>
          <w:sz w:val="20"/>
        </w:rPr>
        <w:t>, sob o</w:t>
      </w:r>
      <w:r w:rsidRPr="00BC6B95">
        <w:rPr>
          <w:rFonts w:ascii="Arial" w:hAnsi="Arial" w:cs="Arial"/>
          <w:sz w:val="20"/>
        </w:rPr>
        <w:t xml:space="preserve"> número único de matrícula e pessoa coletiva </w:t>
      </w:r>
      <w:r w:rsidRPr="008163BF">
        <w:t>[</w:t>
      </w:r>
      <w:r w:rsidRPr="008163BF">
        <w:rPr>
          <w:rFonts w:cs="Calibri"/>
        </w:rPr>
        <w:t>•</w:t>
      </w:r>
      <w:r w:rsidRPr="008163BF">
        <w:t>]</w:t>
      </w:r>
      <w:r w:rsidRPr="00BC6B95">
        <w:rPr>
          <w:rFonts w:ascii="Arial" w:hAnsi="Arial" w:cs="Arial"/>
          <w:sz w:val="20"/>
        </w:rPr>
        <w:t>, vem pelo presente documento, declarar que</w:t>
      </w:r>
      <w:r>
        <w:rPr>
          <w:rFonts w:ascii="Arial" w:hAnsi="Arial" w:cs="Arial"/>
          <w:sz w:val="20"/>
          <w:szCs w:val="20"/>
        </w:rPr>
        <w:t xml:space="preserve"> não </w:t>
      </w:r>
      <w:r w:rsidR="0059041B">
        <w:rPr>
          <w:rFonts w:ascii="Arial" w:hAnsi="Arial" w:cs="Arial"/>
          <w:sz w:val="20"/>
          <w:szCs w:val="20"/>
        </w:rPr>
        <w:t>era</w:t>
      </w:r>
      <w:r>
        <w:rPr>
          <w:rFonts w:ascii="Arial" w:hAnsi="Arial" w:cs="Arial"/>
          <w:sz w:val="20"/>
          <w:szCs w:val="20"/>
        </w:rPr>
        <w:t xml:space="preserve"> considerada como empresa em dificuldades a 31 de Dezembro de 2019, nos termos do nº 18 do Artigo 2º do Regulamento da Comissão Europeia nº 651/2014 de 17 de junho, </w:t>
      </w:r>
      <w:r w:rsidR="0059041B">
        <w:rPr>
          <w:rFonts w:ascii="Arial" w:hAnsi="Arial" w:cs="Arial"/>
          <w:sz w:val="20"/>
          <w:szCs w:val="20"/>
        </w:rPr>
        <w:t xml:space="preserve">devendo para esse efeito considerar-se como </w:t>
      </w:r>
      <w:r w:rsidR="0059041B" w:rsidRPr="0059041B">
        <w:rPr>
          <w:rFonts w:ascii="Arial" w:hAnsi="Arial" w:cs="Arial"/>
          <w:sz w:val="20"/>
          <w:szCs w:val="20"/>
        </w:rPr>
        <w:t>«Empresa em dificuldade», uma empresa relativamente à qual se verifica, pelo menos, uma das seguintes circunstâncias</w:t>
      </w:r>
      <w:r w:rsidR="007A41B5">
        <w:rPr>
          <w:rStyle w:val="Refdenotaderodap"/>
          <w:rFonts w:ascii="Arial" w:hAnsi="Arial" w:cs="Arial"/>
          <w:sz w:val="20"/>
          <w:szCs w:val="20"/>
        </w:rPr>
        <w:footnoteReference w:id="1"/>
      </w:r>
      <w:r w:rsidR="0059041B" w:rsidRPr="0059041B">
        <w:rPr>
          <w:rFonts w:ascii="Arial" w:hAnsi="Arial" w:cs="Arial"/>
          <w:sz w:val="20"/>
          <w:szCs w:val="20"/>
        </w:rPr>
        <w:t>:</w:t>
      </w:r>
    </w:p>
    <w:p w14:paraId="7ABCC717" w14:textId="77777777" w:rsidR="0059041B" w:rsidRDefault="0059041B" w:rsidP="0059041B">
      <w:pPr>
        <w:spacing w:line="360" w:lineRule="auto"/>
        <w:jc w:val="both"/>
        <w:rPr>
          <w:rFonts w:ascii="Arial" w:hAnsi="Arial" w:cs="Arial"/>
          <w:sz w:val="20"/>
          <w:szCs w:val="20"/>
        </w:rPr>
      </w:pPr>
    </w:p>
    <w:p w14:paraId="372EC055" w14:textId="77777777" w:rsidR="0059041B" w:rsidRDefault="0059041B" w:rsidP="0059041B">
      <w:pPr>
        <w:pStyle w:val="PargrafodaLista"/>
        <w:numPr>
          <w:ilvl w:val="0"/>
          <w:numId w:val="1"/>
        </w:numPr>
        <w:spacing w:line="360" w:lineRule="auto"/>
        <w:ind w:left="567"/>
        <w:jc w:val="both"/>
        <w:rPr>
          <w:rFonts w:ascii="Arial" w:hAnsi="Arial" w:cs="Arial"/>
          <w:sz w:val="20"/>
          <w:szCs w:val="20"/>
        </w:rPr>
      </w:pPr>
      <w:r w:rsidRPr="0059041B">
        <w:rPr>
          <w:rFonts w:ascii="Arial" w:hAnsi="Arial" w:cs="Arial"/>
          <w:sz w:val="20"/>
          <w:szCs w:val="20"/>
        </w:rPr>
        <w:t>No caso de uma sociedade de responsabilidade limitada</w:t>
      </w:r>
      <w:r w:rsidR="005A4B08">
        <w:rPr>
          <w:rStyle w:val="Refdenotaderodap"/>
          <w:rFonts w:ascii="Arial" w:hAnsi="Arial" w:cs="Arial"/>
          <w:sz w:val="20"/>
          <w:szCs w:val="20"/>
        </w:rPr>
        <w:footnoteReference w:id="2"/>
      </w:r>
      <w:r w:rsidRPr="0059041B">
        <w:rPr>
          <w:rFonts w:ascii="Arial" w:hAnsi="Arial" w:cs="Arial"/>
          <w:sz w:val="20"/>
          <w:szCs w:val="20"/>
        </w:rPr>
        <w:t>, se mais de metade do seu capital social subscrito tiver desaparecido devido a perdas acumuladas. Tal é o caso quando a dedução das perdas acumuladas das reservas (e todos os outros elementos geralmente considerados como uma parte dos fundos próprios da empresa) conduz a um montante cumulado negativo que excede metade do capital social subscrito. Para efeitos desta disposição, «sociedade de responsabilidade limitada» refere-se, em especial, às formas de empresas mencionadas no anexo I da Diretiva 2013/34/UE</w:t>
      </w:r>
      <w:hyperlink r:id="rId8" w:anchor="ntr37-L_2014187PT.01000101-E0037" w:history="1">
        <w:r w:rsidRPr="0059041B">
          <w:rPr>
            <w:rFonts w:ascii="Arial" w:hAnsi="Arial" w:cs="Arial"/>
            <w:sz w:val="20"/>
            <w:szCs w:val="20"/>
          </w:rPr>
          <w:t> (37)</w:t>
        </w:r>
      </w:hyperlink>
      <w:r w:rsidRPr="0059041B">
        <w:rPr>
          <w:rFonts w:ascii="Arial" w:hAnsi="Arial" w:cs="Arial"/>
          <w:sz w:val="20"/>
          <w:szCs w:val="20"/>
        </w:rPr>
        <w:t> e «capital social» inclui, se for caso disso, qualquer prémio de emissão</w:t>
      </w:r>
      <w:r>
        <w:rPr>
          <w:rFonts w:ascii="Arial" w:hAnsi="Arial" w:cs="Arial"/>
          <w:sz w:val="20"/>
          <w:szCs w:val="20"/>
        </w:rPr>
        <w:t>.</w:t>
      </w:r>
    </w:p>
    <w:p w14:paraId="179543D7" w14:textId="77777777" w:rsidR="0059041B" w:rsidRDefault="0059041B" w:rsidP="0059041B">
      <w:pPr>
        <w:pStyle w:val="PargrafodaLista"/>
        <w:spacing w:line="360" w:lineRule="auto"/>
        <w:ind w:left="567"/>
        <w:jc w:val="both"/>
        <w:rPr>
          <w:rFonts w:ascii="Arial" w:hAnsi="Arial" w:cs="Arial"/>
          <w:sz w:val="20"/>
          <w:szCs w:val="20"/>
        </w:rPr>
      </w:pPr>
    </w:p>
    <w:p w14:paraId="5458431B" w14:textId="1A70D61F" w:rsidR="0059041B" w:rsidRDefault="0059041B" w:rsidP="0059041B">
      <w:pPr>
        <w:pStyle w:val="PargrafodaLista"/>
        <w:numPr>
          <w:ilvl w:val="0"/>
          <w:numId w:val="1"/>
        </w:numPr>
        <w:spacing w:line="360" w:lineRule="auto"/>
        <w:ind w:left="567"/>
        <w:jc w:val="both"/>
        <w:rPr>
          <w:rFonts w:ascii="Arial" w:hAnsi="Arial" w:cs="Arial"/>
          <w:sz w:val="20"/>
          <w:szCs w:val="20"/>
        </w:rPr>
      </w:pPr>
      <w:r w:rsidRPr="0059041B">
        <w:rPr>
          <w:rFonts w:ascii="Arial" w:hAnsi="Arial" w:cs="Arial"/>
          <w:sz w:val="20"/>
          <w:szCs w:val="20"/>
        </w:rPr>
        <w:t xml:space="preserve">No caso de uma </w:t>
      </w:r>
      <w:r w:rsidR="007A41B5">
        <w:rPr>
          <w:rFonts w:ascii="Arial" w:hAnsi="Arial" w:cs="Arial"/>
          <w:sz w:val="20"/>
          <w:szCs w:val="20"/>
        </w:rPr>
        <w:t>sociedade</w:t>
      </w:r>
      <w:r w:rsidR="007A41B5" w:rsidRPr="0059041B">
        <w:rPr>
          <w:rFonts w:ascii="Arial" w:hAnsi="Arial" w:cs="Arial"/>
          <w:sz w:val="20"/>
          <w:szCs w:val="20"/>
        </w:rPr>
        <w:t xml:space="preserve"> </w:t>
      </w:r>
      <w:r w:rsidRPr="0059041B">
        <w:rPr>
          <w:rFonts w:ascii="Arial" w:hAnsi="Arial" w:cs="Arial"/>
          <w:sz w:val="20"/>
          <w:szCs w:val="20"/>
        </w:rPr>
        <w:t>em que pelo menos alguns sócios têm responsabilidade ilimitada relativamente às dívidas da empresa</w:t>
      </w:r>
      <w:r w:rsidR="005A4B08">
        <w:rPr>
          <w:rStyle w:val="Refdenotaderodap"/>
          <w:rFonts w:ascii="Arial" w:hAnsi="Arial" w:cs="Arial"/>
          <w:sz w:val="20"/>
          <w:szCs w:val="20"/>
        </w:rPr>
        <w:footnoteReference w:id="3"/>
      </w:r>
      <w:r w:rsidRPr="0059041B">
        <w:rPr>
          <w:rFonts w:ascii="Arial" w:hAnsi="Arial" w:cs="Arial"/>
          <w:sz w:val="20"/>
          <w:szCs w:val="20"/>
        </w:rPr>
        <w:t>, se mais de metade do seu capital, conforme indicado na contabilidade da sociedade, tiver desaparecido devido às perdas acumuladas. Para efeitos desta disposição, «sociedade em que pelo menos alguns sócios têm responsabilidade ilimitada relativamente às dívidas da sociedade» refere-se, em especial, às formas de empresas mencionadas no anexo II da Diretiva 2013/34/</w:t>
      </w:r>
      <w:r>
        <w:rPr>
          <w:rFonts w:ascii="Arial" w:hAnsi="Arial" w:cs="Arial"/>
          <w:sz w:val="20"/>
          <w:szCs w:val="20"/>
        </w:rPr>
        <w:t>EU.</w:t>
      </w:r>
    </w:p>
    <w:p w14:paraId="59133EE5" w14:textId="77777777" w:rsidR="0059041B" w:rsidRPr="0059041B" w:rsidRDefault="0059041B" w:rsidP="0059041B">
      <w:pPr>
        <w:pStyle w:val="PargrafodaLista"/>
        <w:rPr>
          <w:rFonts w:ascii="Arial" w:hAnsi="Arial" w:cs="Arial"/>
          <w:sz w:val="20"/>
          <w:szCs w:val="20"/>
        </w:rPr>
      </w:pPr>
    </w:p>
    <w:p w14:paraId="5260BA19" w14:textId="77777777" w:rsidR="0059041B" w:rsidRDefault="0059041B" w:rsidP="0059041B">
      <w:pPr>
        <w:pStyle w:val="PargrafodaLista"/>
        <w:numPr>
          <w:ilvl w:val="0"/>
          <w:numId w:val="1"/>
        </w:numPr>
        <w:spacing w:line="360" w:lineRule="auto"/>
        <w:ind w:left="567"/>
        <w:jc w:val="both"/>
        <w:rPr>
          <w:rFonts w:ascii="Arial" w:hAnsi="Arial" w:cs="Arial"/>
          <w:sz w:val="20"/>
          <w:szCs w:val="20"/>
        </w:rPr>
      </w:pPr>
      <w:r w:rsidRPr="0059041B">
        <w:rPr>
          <w:rFonts w:ascii="Arial" w:hAnsi="Arial" w:cs="Arial"/>
          <w:sz w:val="20"/>
          <w:szCs w:val="20"/>
        </w:rPr>
        <w:t>Sempre que a empresa for objeto de um processo coletivo de insolvência ou preencher, de acordo com o respetivo direito nacional, os critérios para ser submetida a um processo coletivo de insolvência a pedido dos seus credores</w:t>
      </w:r>
      <w:r>
        <w:rPr>
          <w:rFonts w:ascii="Arial" w:hAnsi="Arial" w:cs="Arial"/>
          <w:sz w:val="20"/>
          <w:szCs w:val="20"/>
        </w:rPr>
        <w:t>.</w:t>
      </w:r>
    </w:p>
    <w:p w14:paraId="63D021EE" w14:textId="77777777" w:rsidR="0059041B" w:rsidRPr="0059041B" w:rsidRDefault="0059041B" w:rsidP="0059041B">
      <w:pPr>
        <w:pStyle w:val="PargrafodaLista"/>
        <w:rPr>
          <w:rFonts w:ascii="Arial" w:hAnsi="Arial" w:cs="Arial"/>
          <w:sz w:val="20"/>
          <w:szCs w:val="20"/>
        </w:rPr>
      </w:pPr>
    </w:p>
    <w:p w14:paraId="42B280ED" w14:textId="77777777" w:rsidR="0059041B" w:rsidRDefault="0059041B" w:rsidP="0059041B">
      <w:pPr>
        <w:pStyle w:val="PargrafodaLista"/>
        <w:numPr>
          <w:ilvl w:val="0"/>
          <w:numId w:val="1"/>
        </w:numPr>
        <w:spacing w:line="360" w:lineRule="auto"/>
        <w:ind w:left="567"/>
        <w:jc w:val="both"/>
        <w:rPr>
          <w:rFonts w:ascii="Arial" w:hAnsi="Arial" w:cs="Arial"/>
          <w:sz w:val="20"/>
          <w:szCs w:val="20"/>
        </w:rPr>
      </w:pPr>
      <w:r w:rsidRPr="0059041B">
        <w:rPr>
          <w:rFonts w:ascii="Arial" w:hAnsi="Arial" w:cs="Arial"/>
          <w:sz w:val="20"/>
          <w:szCs w:val="20"/>
        </w:rPr>
        <w:t>Sempre que uma empresa tiver recebido um auxílio de emergência e ainda não tiver reembolsado o empréstimo ou terminado a garantia, ou tiver recebido um auxílio à reestruturação e ainda estiver sujeita a um plano de reestruturação</w:t>
      </w:r>
    </w:p>
    <w:p w14:paraId="5508D94A" w14:textId="77777777" w:rsidR="0059041B" w:rsidRPr="0059041B" w:rsidRDefault="0059041B" w:rsidP="0059041B">
      <w:pPr>
        <w:pStyle w:val="PargrafodaLista"/>
        <w:rPr>
          <w:rFonts w:ascii="Arial" w:hAnsi="Arial" w:cs="Arial"/>
          <w:sz w:val="20"/>
          <w:szCs w:val="20"/>
        </w:rPr>
      </w:pPr>
    </w:p>
    <w:p w14:paraId="4F84D9E0" w14:textId="77777777" w:rsidR="0059041B" w:rsidRDefault="0059041B" w:rsidP="0059041B">
      <w:pPr>
        <w:pStyle w:val="PargrafodaLista"/>
        <w:numPr>
          <w:ilvl w:val="0"/>
          <w:numId w:val="1"/>
        </w:numPr>
        <w:spacing w:line="360" w:lineRule="auto"/>
        <w:ind w:left="567"/>
        <w:jc w:val="both"/>
        <w:rPr>
          <w:rFonts w:ascii="Arial" w:hAnsi="Arial" w:cs="Arial"/>
          <w:sz w:val="20"/>
          <w:szCs w:val="20"/>
        </w:rPr>
      </w:pPr>
      <w:r w:rsidRPr="0059041B">
        <w:rPr>
          <w:rFonts w:ascii="Arial" w:hAnsi="Arial" w:cs="Arial"/>
          <w:sz w:val="20"/>
          <w:szCs w:val="20"/>
        </w:rPr>
        <w:t>No caso de uma empresa que não seja uma PME, sempre que, nos últimos dois anos:</w:t>
      </w:r>
    </w:p>
    <w:p w14:paraId="36A75917" w14:textId="77777777" w:rsidR="0059041B" w:rsidRPr="0059041B" w:rsidRDefault="0059041B" w:rsidP="0059041B">
      <w:pPr>
        <w:pStyle w:val="PargrafodaLista"/>
        <w:rPr>
          <w:rFonts w:ascii="Arial" w:hAnsi="Arial" w:cs="Arial"/>
          <w:sz w:val="20"/>
          <w:szCs w:val="20"/>
        </w:rPr>
      </w:pPr>
    </w:p>
    <w:p w14:paraId="4D11A4B7" w14:textId="77777777" w:rsidR="0059041B" w:rsidRDefault="0059041B" w:rsidP="0059041B">
      <w:pPr>
        <w:pStyle w:val="PargrafodaLista"/>
        <w:numPr>
          <w:ilvl w:val="0"/>
          <w:numId w:val="2"/>
        </w:numPr>
        <w:spacing w:line="360" w:lineRule="auto"/>
        <w:ind w:left="993"/>
        <w:jc w:val="both"/>
        <w:rPr>
          <w:rFonts w:ascii="Arial" w:hAnsi="Arial" w:cs="Arial"/>
          <w:sz w:val="20"/>
          <w:szCs w:val="20"/>
        </w:rPr>
      </w:pPr>
      <w:r w:rsidRPr="0059041B">
        <w:rPr>
          <w:rFonts w:ascii="Arial" w:hAnsi="Arial" w:cs="Arial"/>
          <w:sz w:val="20"/>
          <w:szCs w:val="20"/>
        </w:rPr>
        <w:lastRenderedPageBreak/>
        <w:t>o rácio dívida contabilística/fundos próprios</w:t>
      </w:r>
      <w:r w:rsidR="00EB6E39">
        <w:rPr>
          <w:rStyle w:val="Refdenotaderodap"/>
          <w:rFonts w:ascii="Arial" w:hAnsi="Arial" w:cs="Arial"/>
          <w:sz w:val="20"/>
          <w:szCs w:val="20"/>
        </w:rPr>
        <w:footnoteReference w:id="4"/>
      </w:r>
      <w:r w:rsidRPr="0059041B">
        <w:rPr>
          <w:rFonts w:ascii="Arial" w:hAnsi="Arial" w:cs="Arial"/>
          <w:sz w:val="20"/>
          <w:szCs w:val="20"/>
        </w:rPr>
        <w:t xml:space="preserve"> da empresa tiver sido superior a 7,5 e</w:t>
      </w:r>
    </w:p>
    <w:p w14:paraId="38E8E6C2" w14:textId="77777777" w:rsidR="0059041B" w:rsidRDefault="0059041B" w:rsidP="0059041B">
      <w:pPr>
        <w:pStyle w:val="PargrafodaLista"/>
        <w:spacing w:line="360" w:lineRule="auto"/>
        <w:ind w:left="993"/>
        <w:jc w:val="both"/>
        <w:rPr>
          <w:rFonts w:ascii="Arial" w:hAnsi="Arial" w:cs="Arial"/>
          <w:sz w:val="20"/>
          <w:szCs w:val="20"/>
        </w:rPr>
      </w:pPr>
    </w:p>
    <w:p w14:paraId="59E977FE" w14:textId="77777777" w:rsidR="0059041B" w:rsidRPr="0059041B" w:rsidRDefault="0059041B" w:rsidP="0059041B">
      <w:pPr>
        <w:pStyle w:val="PargrafodaLista"/>
        <w:numPr>
          <w:ilvl w:val="0"/>
          <w:numId w:val="2"/>
        </w:numPr>
        <w:spacing w:line="360" w:lineRule="auto"/>
        <w:ind w:left="993"/>
        <w:jc w:val="both"/>
        <w:rPr>
          <w:rFonts w:ascii="Arial" w:hAnsi="Arial" w:cs="Arial"/>
          <w:sz w:val="20"/>
          <w:szCs w:val="20"/>
        </w:rPr>
      </w:pPr>
      <w:r w:rsidRPr="0059041B">
        <w:rPr>
          <w:rFonts w:ascii="Arial" w:hAnsi="Arial" w:cs="Arial"/>
          <w:sz w:val="20"/>
          <w:szCs w:val="20"/>
        </w:rPr>
        <w:t>o rácio de cobertura dos juros da empresa, calculado com base em EBTIDA, tiver sido inferior a 1,0;</w:t>
      </w:r>
    </w:p>
    <w:p w14:paraId="6CAD2B1B" w14:textId="77777777" w:rsidR="00162F20" w:rsidRDefault="00162F20"/>
    <w:p w14:paraId="4A5B90DC" w14:textId="77777777" w:rsidR="00162F20" w:rsidRDefault="00162F20"/>
    <w:p w14:paraId="35D1310C" w14:textId="77777777" w:rsidR="00162F20" w:rsidRPr="00D335AC" w:rsidRDefault="00DD69E3" w:rsidP="00162F20">
      <w:pPr>
        <w:spacing w:after="100" w:afterAutospacing="1" w:line="360" w:lineRule="auto"/>
        <w:jc w:val="both"/>
        <w:rPr>
          <w:rFonts w:ascii="Arial" w:hAnsi="Arial" w:cs="Arial"/>
          <w:sz w:val="20"/>
          <w:szCs w:val="20"/>
        </w:rPr>
      </w:pPr>
      <w:r>
        <w:rPr>
          <w:rFonts w:ascii="Arial" w:hAnsi="Arial" w:cs="Arial"/>
          <w:sz w:val="20"/>
          <w:szCs w:val="20"/>
        </w:rPr>
        <w:t>Localidade</w:t>
      </w:r>
      <w:r w:rsidR="00162F20" w:rsidRPr="00D335AC">
        <w:rPr>
          <w:rFonts w:ascii="Arial" w:hAnsi="Arial" w:cs="Arial"/>
          <w:sz w:val="20"/>
          <w:szCs w:val="20"/>
        </w:rPr>
        <w:t xml:space="preserve">, </w:t>
      </w:r>
      <w:r w:rsidR="00162F20" w:rsidRPr="00D335AC">
        <w:t>[</w:t>
      </w:r>
      <w:r w:rsidR="00162F20" w:rsidRPr="00D335AC">
        <w:rPr>
          <w:rFonts w:cs="Calibri"/>
        </w:rPr>
        <w:t>•</w:t>
      </w:r>
      <w:r w:rsidR="00162F20" w:rsidRPr="00D335AC">
        <w:t>]</w:t>
      </w:r>
      <w:r w:rsidR="00162F20" w:rsidRPr="00D335AC">
        <w:rPr>
          <w:rFonts w:ascii="Arial" w:hAnsi="Arial" w:cs="Arial"/>
          <w:sz w:val="20"/>
          <w:szCs w:val="20"/>
        </w:rPr>
        <w:t xml:space="preserve"> de </w:t>
      </w:r>
      <w:r w:rsidR="00162F20" w:rsidRPr="00D335AC">
        <w:t>[</w:t>
      </w:r>
      <w:r w:rsidR="00162F20" w:rsidRPr="00D335AC">
        <w:rPr>
          <w:rFonts w:cs="Calibri"/>
        </w:rPr>
        <w:t>•</w:t>
      </w:r>
      <w:r w:rsidR="00162F20" w:rsidRPr="00D335AC">
        <w:t>]</w:t>
      </w:r>
      <w:r w:rsidR="00162F20" w:rsidRPr="00D335AC">
        <w:rPr>
          <w:rFonts w:ascii="Arial" w:hAnsi="Arial" w:cs="Arial"/>
          <w:sz w:val="20"/>
          <w:szCs w:val="20"/>
        </w:rPr>
        <w:t xml:space="preserve"> de 2020</w:t>
      </w:r>
    </w:p>
    <w:p w14:paraId="35536D21" w14:textId="77777777" w:rsidR="0059041B" w:rsidRDefault="0059041B" w:rsidP="00162F20">
      <w:pPr>
        <w:spacing w:before="100" w:beforeAutospacing="1" w:after="100" w:afterAutospacing="1" w:line="360" w:lineRule="auto"/>
        <w:jc w:val="center"/>
      </w:pPr>
    </w:p>
    <w:p w14:paraId="5C8E67AC" w14:textId="77777777" w:rsidR="00162F20" w:rsidRPr="00D335AC" w:rsidRDefault="00162F20" w:rsidP="00162F20">
      <w:pPr>
        <w:spacing w:before="100" w:beforeAutospacing="1" w:after="100" w:afterAutospacing="1" w:line="360" w:lineRule="auto"/>
        <w:jc w:val="center"/>
        <w:rPr>
          <w:rFonts w:ascii="Arial" w:hAnsi="Arial" w:cs="Arial"/>
          <w:b/>
          <w:sz w:val="20"/>
          <w:szCs w:val="20"/>
        </w:rPr>
      </w:pPr>
      <w:r w:rsidRPr="00D335AC">
        <w:t>[</w:t>
      </w:r>
      <w:r w:rsidRPr="00D335AC">
        <w:rPr>
          <w:rFonts w:cs="Calibri"/>
        </w:rPr>
        <w:t>•</w:t>
      </w:r>
      <w:r w:rsidRPr="00D335AC">
        <w:t>]</w:t>
      </w:r>
    </w:p>
    <w:p w14:paraId="5E2C25C6" w14:textId="77777777" w:rsidR="00162F20" w:rsidRDefault="00162F20" w:rsidP="00162F20">
      <w:pPr>
        <w:spacing w:before="100" w:beforeAutospacing="1" w:after="100" w:afterAutospacing="1" w:line="360" w:lineRule="auto"/>
        <w:jc w:val="center"/>
        <w:rPr>
          <w:rFonts w:ascii="Arial" w:hAnsi="Arial" w:cs="Arial"/>
          <w:b/>
          <w:sz w:val="20"/>
          <w:szCs w:val="20"/>
        </w:rPr>
      </w:pPr>
      <w:r>
        <w:rPr>
          <w:rFonts w:ascii="Arial" w:hAnsi="Arial" w:cs="Arial"/>
          <w:b/>
          <w:sz w:val="20"/>
          <w:szCs w:val="20"/>
        </w:rPr>
        <w:t>________________________________</w:t>
      </w:r>
    </w:p>
    <w:p w14:paraId="5EB1F32C" w14:textId="77777777" w:rsidR="00162F20" w:rsidRDefault="00162F20" w:rsidP="00162F20">
      <w:r w:rsidRPr="006117EB">
        <w:rPr>
          <w:rFonts w:ascii="Arial" w:hAnsi="Arial" w:cs="Arial"/>
          <w:i/>
          <w:sz w:val="18"/>
          <w:szCs w:val="20"/>
          <w:lang w:eastAsia="pt-PT"/>
        </w:rPr>
        <w:t>OBS: a presente declaração deve ser assinada pelos representantes legais da empresa com poderes para o ato</w:t>
      </w:r>
    </w:p>
    <w:sectPr w:rsidR="00162F20" w:rsidSect="003F4E4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9A2F" w14:textId="77777777" w:rsidR="00E07A0F" w:rsidRDefault="00E07A0F" w:rsidP="005A4B08">
      <w:r>
        <w:separator/>
      </w:r>
    </w:p>
  </w:endnote>
  <w:endnote w:type="continuationSeparator" w:id="0">
    <w:p w14:paraId="7384C2C3" w14:textId="77777777" w:rsidR="00E07A0F" w:rsidRDefault="00E07A0F" w:rsidP="005A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847A" w14:textId="77777777" w:rsidR="005A4B08" w:rsidRDefault="005A4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A11A" w14:textId="77777777" w:rsidR="00E07A0F" w:rsidRDefault="00E07A0F" w:rsidP="005A4B08">
      <w:r>
        <w:separator/>
      </w:r>
    </w:p>
  </w:footnote>
  <w:footnote w:type="continuationSeparator" w:id="0">
    <w:p w14:paraId="3C7165EB" w14:textId="77777777" w:rsidR="00E07A0F" w:rsidRDefault="00E07A0F" w:rsidP="005A4B08">
      <w:r>
        <w:continuationSeparator/>
      </w:r>
    </w:p>
  </w:footnote>
  <w:footnote w:id="1">
    <w:p w14:paraId="6B4022D4" w14:textId="2B4E172C" w:rsidR="007A41B5" w:rsidRPr="007A41B5" w:rsidRDefault="007A41B5">
      <w:pPr>
        <w:pStyle w:val="Textodenotaderodap"/>
        <w:rPr>
          <w:rFonts w:ascii="Arial" w:hAnsi="Arial" w:cs="Arial"/>
          <w:sz w:val="16"/>
          <w:szCs w:val="16"/>
        </w:rPr>
      </w:pPr>
      <w:r>
        <w:rPr>
          <w:rStyle w:val="Refdenotaderodap"/>
        </w:rPr>
        <w:footnoteRef/>
      </w:r>
      <w:r>
        <w:t xml:space="preserve"> </w:t>
      </w:r>
      <w:r w:rsidRPr="007A41B5">
        <w:rPr>
          <w:rFonts w:ascii="Arial" w:hAnsi="Arial" w:cs="Arial"/>
          <w:sz w:val="16"/>
          <w:szCs w:val="16"/>
        </w:rPr>
        <w:t xml:space="preserve">Alíneas a) e </w:t>
      </w:r>
      <w:r>
        <w:rPr>
          <w:rFonts w:ascii="Arial" w:hAnsi="Arial" w:cs="Arial"/>
          <w:sz w:val="16"/>
          <w:szCs w:val="16"/>
        </w:rPr>
        <w:t>b</w:t>
      </w:r>
      <w:r w:rsidRPr="007A41B5">
        <w:rPr>
          <w:rFonts w:ascii="Arial" w:hAnsi="Arial" w:cs="Arial"/>
          <w:sz w:val="16"/>
          <w:szCs w:val="16"/>
        </w:rPr>
        <w:t>) não são ap</w:t>
      </w:r>
      <w:r>
        <w:rPr>
          <w:rFonts w:ascii="Arial" w:hAnsi="Arial" w:cs="Arial"/>
          <w:sz w:val="16"/>
          <w:szCs w:val="16"/>
        </w:rPr>
        <w:t>l</w:t>
      </w:r>
      <w:r w:rsidRPr="007A41B5">
        <w:rPr>
          <w:rFonts w:ascii="Arial" w:hAnsi="Arial" w:cs="Arial"/>
          <w:sz w:val="16"/>
          <w:szCs w:val="16"/>
        </w:rPr>
        <w:t xml:space="preserve">icáveis a </w:t>
      </w:r>
      <w:r>
        <w:rPr>
          <w:rFonts w:ascii="Arial" w:hAnsi="Arial" w:cs="Arial"/>
          <w:sz w:val="16"/>
          <w:szCs w:val="16"/>
        </w:rPr>
        <w:t>e</w:t>
      </w:r>
      <w:r w:rsidRPr="007A41B5">
        <w:rPr>
          <w:rFonts w:ascii="Arial" w:hAnsi="Arial" w:cs="Arial"/>
          <w:sz w:val="16"/>
          <w:szCs w:val="16"/>
        </w:rPr>
        <w:t xml:space="preserve">mpresário em </w:t>
      </w:r>
      <w:r>
        <w:rPr>
          <w:rFonts w:ascii="Arial" w:hAnsi="Arial" w:cs="Arial"/>
          <w:sz w:val="16"/>
          <w:szCs w:val="16"/>
        </w:rPr>
        <w:t>n</w:t>
      </w:r>
      <w:r w:rsidRPr="007A41B5">
        <w:rPr>
          <w:rFonts w:ascii="Arial" w:hAnsi="Arial" w:cs="Arial"/>
          <w:sz w:val="16"/>
          <w:szCs w:val="16"/>
        </w:rPr>
        <w:t xml:space="preserve">ome </w:t>
      </w:r>
      <w:r>
        <w:rPr>
          <w:rFonts w:ascii="Arial" w:hAnsi="Arial" w:cs="Arial"/>
          <w:sz w:val="16"/>
          <w:szCs w:val="16"/>
        </w:rPr>
        <w:t>i</w:t>
      </w:r>
      <w:r w:rsidRPr="007A41B5">
        <w:rPr>
          <w:rFonts w:ascii="Arial" w:hAnsi="Arial" w:cs="Arial"/>
          <w:sz w:val="16"/>
          <w:szCs w:val="16"/>
        </w:rPr>
        <w:t>ndividual</w:t>
      </w:r>
    </w:p>
  </w:footnote>
  <w:footnote w:id="2">
    <w:p w14:paraId="4B7627AD" w14:textId="77777777" w:rsidR="005A4B08" w:rsidRPr="00EB6E39" w:rsidRDefault="005A4B08" w:rsidP="00EB6E39">
      <w:pPr>
        <w:pStyle w:val="Textodenotaderodap"/>
        <w:jc w:val="both"/>
        <w:rPr>
          <w:rFonts w:ascii="Arial" w:hAnsi="Arial" w:cs="Arial"/>
          <w:sz w:val="16"/>
          <w:szCs w:val="16"/>
        </w:rPr>
      </w:pPr>
      <w:r w:rsidRPr="00EB6E39">
        <w:rPr>
          <w:rStyle w:val="Refdenotaderodap"/>
          <w:rFonts w:ascii="Arial" w:hAnsi="Arial" w:cs="Arial"/>
          <w:sz w:val="18"/>
          <w:szCs w:val="16"/>
        </w:rPr>
        <w:footnoteRef/>
      </w:r>
      <w:r w:rsidRPr="00EB6E39">
        <w:rPr>
          <w:rFonts w:ascii="Arial" w:hAnsi="Arial" w:cs="Arial"/>
          <w:sz w:val="18"/>
          <w:szCs w:val="16"/>
        </w:rPr>
        <w:t xml:space="preserve"> </w:t>
      </w:r>
      <w:r w:rsidRPr="00EB6E39">
        <w:rPr>
          <w:rFonts w:ascii="Arial" w:hAnsi="Arial" w:cs="Arial"/>
          <w:sz w:val="16"/>
          <w:szCs w:val="16"/>
        </w:rPr>
        <w:t>(que não uma PME que exista há menos de três anos ou, para efeitos de elegibilidade para o auxílio ao financiamento de risco, uma PME que, no prazo de sete anos a contar da sua primeira venda comercial, se qualifica para investimentos de financiamento de risco, após exame pormenorizado levado a cabo pelo intermediário financeiro selecionado)</w:t>
      </w:r>
    </w:p>
  </w:footnote>
  <w:footnote w:id="3">
    <w:p w14:paraId="0EDCE4BA" w14:textId="77777777" w:rsidR="005A4B08" w:rsidRDefault="005A4B08" w:rsidP="00EB6E39">
      <w:pPr>
        <w:pStyle w:val="Textodenotaderodap"/>
        <w:jc w:val="both"/>
      </w:pPr>
      <w:r w:rsidRPr="00EB6E39">
        <w:rPr>
          <w:rStyle w:val="Refdenotaderodap"/>
          <w:rFonts w:ascii="Arial" w:hAnsi="Arial" w:cs="Arial"/>
          <w:sz w:val="18"/>
          <w:szCs w:val="16"/>
        </w:rPr>
        <w:footnoteRef/>
      </w:r>
      <w:r w:rsidRPr="00EB6E39">
        <w:rPr>
          <w:rFonts w:ascii="Arial" w:hAnsi="Arial" w:cs="Arial"/>
          <w:sz w:val="18"/>
          <w:szCs w:val="16"/>
        </w:rPr>
        <w:t xml:space="preserve"> </w:t>
      </w:r>
      <w:r w:rsidRPr="00EB6E39">
        <w:rPr>
          <w:rFonts w:ascii="Arial" w:hAnsi="Arial" w:cs="Arial"/>
          <w:sz w:val="16"/>
          <w:szCs w:val="16"/>
        </w:rPr>
        <w:t>(que não uma PME que exista há menos de três anos ou, para efeitos de elegibilidade para o auxílio ao financiamento de risco, uma PME que, no prazo de sete anos a contar da sua primeira venda comercial, se qualifica para investimentos de financiamento de risco, após exame pormenorizado levado a cabo pelo intermediário financeiro selecionado)</w:t>
      </w:r>
    </w:p>
  </w:footnote>
  <w:footnote w:id="4">
    <w:p w14:paraId="4B3F74FB" w14:textId="77777777" w:rsidR="00EB6E39" w:rsidRPr="00BC3BC0" w:rsidRDefault="00EB6E39" w:rsidP="00EB6E39">
      <w:pPr>
        <w:pStyle w:val="Textodenotaderodap"/>
        <w:jc w:val="both"/>
        <w:rPr>
          <w:rFonts w:ascii="Arial" w:hAnsi="Arial" w:cs="Arial"/>
          <w:sz w:val="16"/>
        </w:rPr>
      </w:pPr>
      <w:r w:rsidRPr="00EB6E39">
        <w:rPr>
          <w:rStyle w:val="Refdenotaderodap"/>
          <w:sz w:val="18"/>
        </w:rPr>
        <w:footnoteRef/>
      </w:r>
      <w:r>
        <w:t xml:space="preserve"> </w:t>
      </w:r>
      <w:r w:rsidRPr="00BC3BC0">
        <w:rPr>
          <w:rFonts w:ascii="Arial" w:hAnsi="Arial" w:cs="Arial"/>
          <w:sz w:val="16"/>
        </w:rPr>
        <w:t>Conceitos a considerar:</w:t>
      </w:r>
    </w:p>
    <w:p w14:paraId="5C77B0FA" w14:textId="77777777" w:rsidR="00EB6E39" w:rsidRDefault="00EB6E39" w:rsidP="00EB6E39">
      <w:pPr>
        <w:pStyle w:val="PargrafodaLista"/>
        <w:numPr>
          <w:ilvl w:val="0"/>
          <w:numId w:val="3"/>
        </w:numPr>
        <w:ind w:left="426" w:hanging="284"/>
        <w:jc w:val="both"/>
        <w:rPr>
          <w:rFonts w:ascii="Arial" w:hAnsi="Arial" w:cs="Arial"/>
          <w:sz w:val="16"/>
          <w:szCs w:val="20"/>
        </w:rPr>
      </w:pPr>
      <w:r w:rsidRPr="00BC3BC0">
        <w:rPr>
          <w:rFonts w:ascii="Arial" w:hAnsi="Arial" w:cs="Arial"/>
          <w:sz w:val="16"/>
          <w:szCs w:val="20"/>
        </w:rPr>
        <w:t>Dívida contabilística= Dívida Financeira (conta 251 Financiamentos Obtidos – Instituições de Crédito e Sociedades Financeiras)</w:t>
      </w:r>
      <w:r>
        <w:rPr>
          <w:rFonts w:ascii="Arial" w:hAnsi="Arial" w:cs="Arial"/>
          <w:sz w:val="16"/>
          <w:szCs w:val="20"/>
        </w:rPr>
        <w:t>.</w:t>
      </w:r>
    </w:p>
    <w:p w14:paraId="76CD40F5" w14:textId="77777777" w:rsidR="00EB6E39" w:rsidRPr="00EB6E39" w:rsidRDefault="00EB6E39" w:rsidP="00EB6E39">
      <w:pPr>
        <w:pStyle w:val="PargrafodaLista"/>
        <w:numPr>
          <w:ilvl w:val="0"/>
          <w:numId w:val="3"/>
        </w:numPr>
        <w:ind w:left="426" w:hanging="284"/>
        <w:jc w:val="both"/>
        <w:rPr>
          <w:rFonts w:ascii="Arial" w:hAnsi="Arial" w:cs="Arial"/>
          <w:sz w:val="16"/>
          <w:szCs w:val="20"/>
        </w:rPr>
      </w:pPr>
      <w:r w:rsidRPr="00EB6E39">
        <w:rPr>
          <w:rFonts w:ascii="Arial" w:hAnsi="Arial" w:cs="Arial"/>
          <w:sz w:val="16"/>
        </w:rPr>
        <w:t>Fundos Próprios= Capitais Próprio (Total da Classe 5 – Capital, Reservas e Resultados Transitados + Resultado Líquido do Exercício).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D0018"/>
    <w:multiLevelType w:val="hybridMultilevel"/>
    <w:tmpl w:val="7E40E1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18D5D12"/>
    <w:multiLevelType w:val="hybridMultilevel"/>
    <w:tmpl w:val="778EDE6A"/>
    <w:lvl w:ilvl="0" w:tplc="0816001B">
      <w:start w:val="1"/>
      <w:numFmt w:val="lowerRoman"/>
      <w:lvlText w:val="%1."/>
      <w:lvlJc w:val="right"/>
      <w:pPr>
        <w:ind w:left="1287" w:hanging="360"/>
      </w:pPr>
      <w:rPr>
        <w:rFonts w:hint="default"/>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 w15:restartNumberingAfterBreak="0">
    <w:nsid w:val="7EE731D4"/>
    <w:multiLevelType w:val="hybridMultilevel"/>
    <w:tmpl w:val="381E55DC"/>
    <w:lvl w:ilvl="0" w:tplc="693448A8">
      <w:start w:val="1"/>
      <w:numFmt w:val="lowerLetter"/>
      <w:lvlText w:val="%1)"/>
      <w:lvlJc w:val="left"/>
      <w:pPr>
        <w:ind w:left="720" w:hanging="360"/>
      </w:pPr>
      <w:rPr>
        <w:rFonts w:ascii="Arial" w:hAnsi="Arial" w:cs="Arial" w:hint="default"/>
        <w:sz w:val="1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20"/>
    <w:rsid w:val="000005E0"/>
    <w:rsid w:val="00041284"/>
    <w:rsid w:val="00063C1B"/>
    <w:rsid w:val="0007019A"/>
    <w:rsid w:val="000A428A"/>
    <w:rsid w:val="000D0B9C"/>
    <w:rsid w:val="00126774"/>
    <w:rsid w:val="00130960"/>
    <w:rsid w:val="00162F20"/>
    <w:rsid w:val="002768D5"/>
    <w:rsid w:val="00287F70"/>
    <w:rsid w:val="002E26E0"/>
    <w:rsid w:val="00343847"/>
    <w:rsid w:val="003459D5"/>
    <w:rsid w:val="00384397"/>
    <w:rsid w:val="0039315D"/>
    <w:rsid w:val="003D01A9"/>
    <w:rsid w:val="003D04B2"/>
    <w:rsid w:val="003E30BE"/>
    <w:rsid w:val="003F4E4B"/>
    <w:rsid w:val="004049FB"/>
    <w:rsid w:val="004A1407"/>
    <w:rsid w:val="004A2762"/>
    <w:rsid w:val="004C717A"/>
    <w:rsid w:val="005063F7"/>
    <w:rsid w:val="0054676E"/>
    <w:rsid w:val="0059041B"/>
    <w:rsid w:val="005A0B6B"/>
    <w:rsid w:val="005A4B08"/>
    <w:rsid w:val="005D5DBB"/>
    <w:rsid w:val="00634D85"/>
    <w:rsid w:val="0067195F"/>
    <w:rsid w:val="006B266A"/>
    <w:rsid w:val="007471AC"/>
    <w:rsid w:val="0079731A"/>
    <w:rsid w:val="007A41B5"/>
    <w:rsid w:val="007B0802"/>
    <w:rsid w:val="00823610"/>
    <w:rsid w:val="00826539"/>
    <w:rsid w:val="008731B9"/>
    <w:rsid w:val="00945081"/>
    <w:rsid w:val="0095588C"/>
    <w:rsid w:val="009A6DED"/>
    <w:rsid w:val="009A719A"/>
    <w:rsid w:val="009D503B"/>
    <w:rsid w:val="009E3792"/>
    <w:rsid w:val="00A55427"/>
    <w:rsid w:val="00AC32AA"/>
    <w:rsid w:val="00AF3626"/>
    <w:rsid w:val="00AF485B"/>
    <w:rsid w:val="00B54DFF"/>
    <w:rsid w:val="00BC39FE"/>
    <w:rsid w:val="00BF2A73"/>
    <w:rsid w:val="00BF2D1A"/>
    <w:rsid w:val="00C01E41"/>
    <w:rsid w:val="00C858B7"/>
    <w:rsid w:val="00CA08E5"/>
    <w:rsid w:val="00CB4885"/>
    <w:rsid w:val="00CD0F1C"/>
    <w:rsid w:val="00CD5E59"/>
    <w:rsid w:val="00D018E5"/>
    <w:rsid w:val="00D225F9"/>
    <w:rsid w:val="00D5314C"/>
    <w:rsid w:val="00DD69E3"/>
    <w:rsid w:val="00E07A0F"/>
    <w:rsid w:val="00E36F85"/>
    <w:rsid w:val="00E75D77"/>
    <w:rsid w:val="00E95A23"/>
    <w:rsid w:val="00EB6E39"/>
    <w:rsid w:val="00EC43DE"/>
    <w:rsid w:val="00F734EB"/>
    <w:rsid w:val="00FB5413"/>
    <w:rsid w:val="00FC32EA"/>
    <w:rsid w:val="00FE30D9"/>
    <w:rsid w:val="00FF73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58774"/>
  <w15:docId w15:val="{76BC3B2B-9CCE-4EFA-9ED6-7FEFCFB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20"/>
    <w:pPr>
      <w:spacing w:after="0" w:line="240" w:lineRule="auto"/>
    </w:pPr>
    <w:rPr>
      <w:rFonts w:ascii="Verdana" w:eastAsia="Times New Roman" w:hAnsi="Verdana"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basedOn w:val="Normal"/>
    <w:rsid w:val="0059041B"/>
    <w:pPr>
      <w:spacing w:before="100" w:beforeAutospacing="1" w:after="100" w:afterAutospacing="1"/>
    </w:pPr>
    <w:rPr>
      <w:rFonts w:ascii="Times New Roman" w:hAnsi="Times New Roman"/>
      <w:sz w:val="24"/>
      <w:szCs w:val="24"/>
      <w:lang w:eastAsia="pt-PT"/>
    </w:rPr>
  </w:style>
  <w:style w:type="character" w:styleId="Hiperligao">
    <w:name w:val="Hyperlink"/>
    <w:basedOn w:val="Tipodeletrapredefinidodopargrafo"/>
    <w:uiPriority w:val="99"/>
    <w:semiHidden/>
    <w:unhideWhenUsed/>
    <w:rsid w:val="0059041B"/>
    <w:rPr>
      <w:color w:val="0000FF"/>
      <w:u w:val="single"/>
    </w:rPr>
  </w:style>
  <w:style w:type="character" w:customStyle="1" w:styleId="super">
    <w:name w:val="super"/>
    <w:basedOn w:val="Tipodeletrapredefinidodopargrafo"/>
    <w:rsid w:val="0059041B"/>
  </w:style>
  <w:style w:type="paragraph" w:styleId="PargrafodaLista">
    <w:name w:val="List Paragraph"/>
    <w:basedOn w:val="Normal"/>
    <w:uiPriority w:val="34"/>
    <w:qFormat/>
    <w:rsid w:val="0059041B"/>
    <w:pPr>
      <w:ind w:left="720"/>
      <w:contextualSpacing/>
    </w:pPr>
  </w:style>
  <w:style w:type="paragraph" w:styleId="Cabealho">
    <w:name w:val="header"/>
    <w:basedOn w:val="Normal"/>
    <w:link w:val="CabealhoCarter"/>
    <w:uiPriority w:val="99"/>
    <w:unhideWhenUsed/>
    <w:rsid w:val="005A4B08"/>
    <w:pPr>
      <w:tabs>
        <w:tab w:val="center" w:pos="4252"/>
        <w:tab w:val="right" w:pos="8504"/>
      </w:tabs>
    </w:pPr>
  </w:style>
  <w:style w:type="character" w:customStyle="1" w:styleId="CabealhoCarter">
    <w:name w:val="Cabeçalho Caráter"/>
    <w:basedOn w:val="Tipodeletrapredefinidodopargrafo"/>
    <w:link w:val="Cabealho"/>
    <w:uiPriority w:val="99"/>
    <w:rsid w:val="005A4B08"/>
    <w:rPr>
      <w:rFonts w:ascii="Verdana" w:eastAsia="Times New Roman" w:hAnsi="Verdana" w:cs="Times New Roman"/>
    </w:rPr>
  </w:style>
  <w:style w:type="paragraph" w:styleId="Rodap">
    <w:name w:val="footer"/>
    <w:basedOn w:val="Normal"/>
    <w:link w:val="RodapCarter"/>
    <w:uiPriority w:val="99"/>
    <w:unhideWhenUsed/>
    <w:rsid w:val="005A4B08"/>
    <w:pPr>
      <w:tabs>
        <w:tab w:val="center" w:pos="4252"/>
        <w:tab w:val="right" w:pos="8504"/>
      </w:tabs>
    </w:pPr>
  </w:style>
  <w:style w:type="character" w:customStyle="1" w:styleId="RodapCarter">
    <w:name w:val="Rodapé Caráter"/>
    <w:basedOn w:val="Tipodeletrapredefinidodopargrafo"/>
    <w:link w:val="Rodap"/>
    <w:uiPriority w:val="99"/>
    <w:rsid w:val="005A4B08"/>
    <w:rPr>
      <w:rFonts w:ascii="Verdana" w:eastAsia="Times New Roman" w:hAnsi="Verdana" w:cs="Times New Roman"/>
    </w:rPr>
  </w:style>
  <w:style w:type="paragraph" w:styleId="Textodenotaderodap">
    <w:name w:val="footnote text"/>
    <w:basedOn w:val="Normal"/>
    <w:link w:val="TextodenotaderodapCarter"/>
    <w:uiPriority w:val="99"/>
    <w:semiHidden/>
    <w:unhideWhenUsed/>
    <w:rsid w:val="005A4B08"/>
    <w:rPr>
      <w:sz w:val="20"/>
      <w:szCs w:val="20"/>
    </w:rPr>
  </w:style>
  <w:style w:type="character" w:customStyle="1" w:styleId="TextodenotaderodapCarter">
    <w:name w:val="Texto de nota de rodapé Caráter"/>
    <w:basedOn w:val="Tipodeletrapredefinidodopargrafo"/>
    <w:link w:val="Textodenotaderodap"/>
    <w:uiPriority w:val="99"/>
    <w:semiHidden/>
    <w:rsid w:val="005A4B08"/>
    <w:rPr>
      <w:rFonts w:ascii="Verdana" w:eastAsia="Times New Roman" w:hAnsi="Verdana" w:cs="Times New Roman"/>
      <w:sz w:val="20"/>
      <w:szCs w:val="20"/>
    </w:rPr>
  </w:style>
  <w:style w:type="character" w:styleId="Refdenotaderodap">
    <w:name w:val="footnote reference"/>
    <w:basedOn w:val="Tipodeletrapredefinidodopargrafo"/>
    <w:uiPriority w:val="99"/>
    <w:semiHidden/>
    <w:unhideWhenUsed/>
    <w:rsid w:val="005A4B08"/>
    <w:rPr>
      <w:vertAlign w:val="superscript"/>
    </w:rPr>
  </w:style>
  <w:style w:type="paragraph" w:styleId="Textodebalo">
    <w:name w:val="Balloon Text"/>
    <w:basedOn w:val="Normal"/>
    <w:link w:val="TextodebaloCarter"/>
    <w:uiPriority w:val="99"/>
    <w:semiHidden/>
    <w:unhideWhenUsed/>
    <w:rsid w:val="00384397"/>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843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1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T/TXT/?uri=CELEX%3A32014R06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F8B5-D875-4A23-9CF1-1D38636C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Mesquita</dc:creator>
  <cp:lastModifiedBy>Domingos</cp:lastModifiedBy>
  <cp:revision>2</cp:revision>
  <dcterms:created xsi:type="dcterms:W3CDTF">2020-04-13T09:40:00Z</dcterms:created>
  <dcterms:modified xsi:type="dcterms:W3CDTF">2020-04-13T09:40:00Z</dcterms:modified>
</cp:coreProperties>
</file>